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23" w:rsidRDefault="00917806" w:rsidP="00917806">
      <w:pPr>
        <w:pStyle w:val="Heading3"/>
      </w:pPr>
      <w:r>
        <w:t>Using Intercalary Chapters as Moral Tales</w:t>
      </w:r>
      <w:r w:rsidR="004F6A23">
        <w:t>:</w:t>
      </w:r>
    </w:p>
    <w:p w:rsidR="003029FA" w:rsidRPr="004F6A23" w:rsidRDefault="004F6A23" w:rsidP="00917806">
      <w:pPr>
        <w:pStyle w:val="Heading3"/>
      </w:pPr>
      <w:r>
        <w:t xml:space="preserve">Power vs. Powerlessness in </w:t>
      </w:r>
      <w:r>
        <w:rPr>
          <w:i/>
        </w:rPr>
        <w:t xml:space="preserve">The Grapes of Wrath </w:t>
      </w:r>
      <w:r>
        <w:t>Chapter Sixteen</w:t>
      </w:r>
    </w:p>
    <w:p w:rsidR="000E6FEC" w:rsidRDefault="000E6FEC" w:rsidP="00917806">
      <w:pPr>
        <w:rPr>
          <w:rFonts w:ascii="Times New Roman" w:hAnsi="Times New Roman" w:cs="Times New Roman"/>
          <w:sz w:val="24"/>
          <w:szCs w:val="24"/>
        </w:rPr>
      </w:pPr>
    </w:p>
    <w:p w:rsidR="00B82B6A" w:rsidRDefault="00B82B6A" w:rsidP="00B82B6A">
      <w:pPr>
        <w:spacing w:after="0"/>
        <w:rPr>
          <w:rFonts w:ascii="Times New Roman" w:hAnsi="Times New Roman" w:cs="Times New Roman"/>
          <w:sz w:val="24"/>
          <w:szCs w:val="24"/>
        </w:rPr>
      </w:pPr>
      <w:r>
        <w:rPr>
          <w:rFonts w:ascii="Times New Roman" w:hAnsi="Times New Roman" w:cs="Times New Roman"/>
          <w:sz w:val="24"/>
          <w:szCs w:val="24"/>
        </w:rPr>
        <w:t xml:space="preserve">William Martino, </w:t>
      </w:r>
      <w:r w:rsidR="00261EAC">
        <w:rPr>
          <w:rFonts w:ascii="Times New Roman" w:hAnsi="Times New Roman" w:cs="Times New Roman"/>
          <w:sz w:val="24"/>
          <w:szCs w:val="24"/>
        </w:rPr>
        <w:t xml:space="preserve">NEH </w:t>
      </w:r>
      <w:bookmarkStart w:id="0" w:name="_GoBack"/>
      <w:bookmarkEnd w:id="0"/>
      <w:r>
        <w:rPr>
          <w:rFonts w:ascii="Times New Roman" w:hAnsi="Times New Roman" w:cs="Times New Roman"/>
          <w:sz w:val="24"/>
          <w:szCs w:val="24"/>
        </w:rPr>
        <w:t>Institute Scholar 2013</w:t>
      </w:r>
    </w:p>
    <w:p w:rsidR="00B82B6A" w:rsidRDefault="00B82B6A" w:rsidP="00B82B6A">
      <w:pPr>
        <w:spacing w:after="0"/>
        <w:rPr>
          <w:rFonts w:ascii="Times New Roman" w:hAnsi="Times New Roman" w:cs="Times New Roman"/>
          <w:sz w:val="24"/>
          <w:szCs w:val="24"/>
        </w:rPr>
      </w:pPr>
      <w:r>
        <w:rPr>
          <w:rFonts w:ascii="Times New Roman" w:hAnsi="Times New Roman" w:cs="Times New Roman"/>
          <w:sz w:val="24"/>
          <w:szCs w:val="24"/>
        </w:rPr>
        <w:t>Xavier High School, New York, NY</w:t>
      </w:r>
    </w:p>
    <w:p w:rsidR="00B82B6A" w:rsidRDefault="00B82B6A" w:rsidP="00B82B6A">
      <w:pPr>
        <w:spacing w:after="0"/>
        <w:rPr>
          <w:rFonts w:ascii="Times New Roman" w:hAnsi="Times New Roman" w:cs="Times New Roman"/>
          <w:sz w:val="24"/>
          <w:szCs w:val="24"/>
        </w:rPr>
      </w:pPr>
    </w:p>
    <w:p w:rsidR="007E3790" w:rsidRDefault="00B82B6A" w:rsidP="00B82B6A">
      <w:pPr>
        <w:rPr>
          <w:rFonts w:ascii="Times New Roman" w:hAnsi="Times New Roman" w:cs="Times New Roman"/>
        </w:rPr>
      </w:pPr>
      <w:r w:rsidRPr="00D15C1B">
        <w:rPr>
          <w:rFonts w:ascii="Times New Roman" w:hAnsi="Times New Roman" w:cs="Times New Roman"/>
          <w:b/>
          <w:u w:val="single"/>
        </w:rPr>
        <w:t>Rationale</w:t>
      </w:r>
      <w:r>
        <w:rPr>
          <w:rFonts w:ascii="Times New Roman" w:hAnsi="Times New Roman" w:cs="Times New Roman"/>
        </w:rPr>
        <w:t xml:space="preserve">:  Some teachers might consider teaching </w:t>
      </w:r>
      <w:r w:rsidRPr="00B82B6A">
        <w:rPr>
          <w:rFonts w:ascii="Times New Roman" w:hAnsi="Times New Roman" w:cs="Times New Roman"/>
          <w:i/>
        </w:rPr>
        <w:t>The Grapes of Wrath</w:t>
      </w:r>
      <w:r>
        <w:rPr>
          <w:rFonts w:ascii="Times New Roman" w:hAnsi="Times New Roman" w:cs="Times New Roman"/>
        </w:rPr>
        <w:t xml:space="preserve"> in its entirety a bit daunting</w:t>
      </w:r>
      <w:r w:rsidR="002456BD">
        <w:rPr>
          <w:rFonts w:ascii="Times New Roman" w:hAnsi="Times New Roman" w:cs="Times New Roman"/>
        </w:rPr>
        <w:t>.</w:t>
      </w:r>
      <w:r>
        <w:rPr>
          <w:rFonts w:ascii="Times New Roman" w:hAnsi="Times New Roman" w:cs="Times New Roman"/>
        </w:rPr>
        <w:t xml:space="preserve">  </w:t>
      </w:r>
      <w:r w:rsidR="002456BD">
        <w:rPr>
          <w:rFonts w:ascii="Times New Roman" w:hAnsi="Times New Roman" w:cs="Times New Roman"/>
        </w:rPr>
        <w:t>P</w:t>
      </w:r>
      <w:r>
        <w:rPr>
          <w:rFonts w:ascii="Times New Roman" w:hAnsi="Times New Roman" w:cs="Times New Roman"/>
        </w:rPr>
        <w:t>roviding students with selections from the text, na</w:t>
      </w:r>
      <w:r w:rsidR="002456BD">
        <w:rPr>
          <w:rFonts w:ascii="Times New Roman" w:hAnsi="Times New Roman" w:cs="Times New Roman"/>
        </w:rPr>
        <w:t xml:space="preserve">mely intercalary chapters, is one </w:t>
      </w:r>
      <w:r>
        <w:rPr>
          <w:rFonts w:ascii="Times New Roman" w:hAnsi="Times New Roman" w:cs="Times New Roman"/>
        </w:rPr>
        <w:t>way</w:t>
      </w:r>
      <w:r w:rsidR="002456BD">
        <w:rPr>
          <w:rFonts w:ascii="Times New Roman" w:hAnsi="Times New Roman" w:cs="Times New Roman"/>
        </w:rPr>
        <w:t xml:space="preserve"> for educators under time constraints to expose students to </w:t>
      </w:r>
      <w:r w:rsidR="002456BD">
        <w:rPr>
          <w:rFonts w:ascii="Times New Roman" w:hAnsi="Times New Roman" w:cs="Times New Roman"/>
          <w:i/>
        </w:rPr>
        <w:t>Grapes.</w:t>
      </w:r>
      <w:r w:rsidR="002456BD">
        <w:rPr>
          <w:rFonts w:ascii="Times New Roman" w:hAnsi="Times New Roman" w:cs="Times New Roman"/>
        </w:rPr>
        <w:t xml:space="preserve"> </w:t>
      </w:r>
      <w:r>
        <w:rPr>
          <w:rFonts w:ascii="Times New Roman" w:hAnsi="Times New Roman" w:cs="Times New Roman"/>
        </w:rPr>
        <w:t xml:space="preserve"> </w:t>
      </w:r>
      <w:r w:rsidR="00313F15">
        <w:rPr>
          <w:rFonts w:ascii="Times New Roman" w:hAnsi="Times New Roman" w:cs="Times New Roman"/>
        </w:rPr>
        <w:t>With specific focus on c</w:t>
      </w:r>
      <w:r>
        <w:rPr>
          <w:rFonts w:ascii="Times New Roman" w:hAnsi="Times New Roman" w:cs="Times New Roman"/>
        </w:rPr>
        <w:t xml:space="preserve">hapter </w:t>
      </w:r>
      <w:r w:rsidR="00313F15">
        <w:rPr>
          <w:rFonts w:ascii="Times New Roman" w:hAnsi="Times New Roman" w:cs="Times New Roman"/>
        </w:rPr>
        <w:t>sixteen</w:t>
      </w:r>
      <w:r w:rsidR="002456BD">
        <w:rPr>
          <w:rFonts w:ascii="Times New Roman" w:hAnsi="Times New Roman" w:cs="Times New Roman"/>
        </w:rPr>
        <w:t xml:space="preserve"> as a short story</w:t>
      </w:r>
      <w:r>
        <w:rPr>
          <w:rFonts w:ascii="Times New Roman" w:hAnsi="Times New Roman" w:cs="Times New Roman"/>
        </w:rPr>
        <w:t xml:space="preserve">, this lesson aims to </w:t>
      </w:r>
      <w:r w:rsidR="000E6FEC">
        <w:rPr>
          <w:rFonts w:ascii="Times New Roman" w:hAnsi="Times New Roman" w:cs="Times New Roman"/>
        </w:rPr>
        <w:t>compare and contrast</w:t>
      </w:r>
      <w:r w:rsidR="002456BD">
        <w:rPr>
          <w:rFonts w:ascii="Times New Roman" w:hAnsi="Times New Roman" w:cs="Times New Roman"/>
        </w:rPr>
        <w:t xml:space="preserve"> cultural</w:t>
      </w:r>
      <w:r w:rsidR="000E6FEC">
        <w:rPr>
          <w:rFonts w:ascii="Times New Roman" w:hAnsi="Times New Roman" w:cs="Times New Roman"/>
        </w:rPr>
        <w:t xml:space="preserve"> values/experiences</w:t>
      </w:r>
      <w:r w:rsidR="002456BD">
        <w:rPr>
          <w:rFonts w:ascii="Times New Roman" w:hAnsi="Times New Roman" w:cs="Times New Roman"/>
        </w:rPr>
        <w:t xml:space="preserve"> of the Great Depression,</w:t>
      </w:r>
      <w:r w:rsidR="000E6FEC">
        <w:rPr>
          <w:rFonts w:ascii="Times New Roman" w:hAnsi="Times New Roman" w:cs="Times New Roman"/>
        </w:rPr>
        <w:t xml:space="preserve"> to provide insight into</w:t>
      </w:r>
      <w:r w:rsidR="002456BD">
        <w:rPr>
          <w:rFonts w:ascii="Times New Roman" w:hAnsi="Times New Roman" w:cs="Times New Roman"/>
        </w:rPr>
        <w:t xml:space="preserve"> migrant work camps, and to discuss </w:t>
      </w:r>
      <w:r w:rsidR="005B0921">
        <w:rPr>
          <w:rFonts w:ascii="Times New Roman" w:hAnsi="Times New Roman" w:cs="Times New Roman"/>
        </w:rPr>
        <w:t>relationships between migrant workers and non-migrant workers during the Depression</w:t>
      </w:r>
      <w:r w:rsidR="002456BD">
        <w:rPr>
          <w:rFonts w:ascii="Times New Roman" w:hAnsi="Times New Roman" w:cs="Times New Roman"/>
        </w:rPr>
        <w:t xml:space="preserve">.  </w:t>
      </w:r>
      <w:r w:rsidR="007E3790">
        <w:rPr>
          <w:rFonts w:ascii="Times New Roman" w:hAnsi="Times New Roman" w:cs="Times New Roman"/>
        </w:rPr>
        <w:t xml:space="preserve">Certainly, this lesson can be taught as part of a larger unit on </w:t>
      </w:r>
      <w:r w:rsidR="007E3790" w:rsidRPr="007E3790">
        <w:rPr>
          <w:rFonts w:ascii="Times New Roman" w:hAnsi="Times New Roman" w:cs="Times New Roman"/>
          <w:i/>
        </w:rPr>
        <w:t>Grapes of Wrath</w:t>
      </w:r>
      <w:r w:rsidR="007E3790">
        <w:rPr>
          <w:rFonts w:ascii="Times New Roman" w:hAnsi="Times New Roman" w:cs="Times New Roman"/>
        </w:rPr>
        <w:t xml:space="preserve"> or Depression Era literature.  </w:t>
      </w:r>
    </w:p>
    <w:p w:rsidR="007E3790" w:rsidRDefault="007E3790" w:rsidP="007E3790">
      <w:pPr>
        <w:rPr>
          <w:rFonts w:ascii="Times New Roman" w:hAnsi="Times New Roman" w:cs="Times New Roman"/>
          <w:b/>
        </w:rPr>
      </w:pPr>
      <w:r w:rsidRPr="00D15C1B">
        <w:rPr>
          <w:rFonts w:ascii="Times New Roman" w:hAnsi="Times New Roman" w:cs="Times New Roman"/>
          <w:b/>
          <w:u w:val="single"/>
        </w:rPr>
        <w:t>Goals</w:t>
      </w:r>
      <w:r w:rsidRPr="007E3790">
        <w:rPr>
          <w:rFonts w:ascii="Times New Roman" w:hAnsi="Times New Roman" w:cs="Times New Roman"/>
          <w:b/>
        </w:rPr>
        <w:t xml:space="preserve">:  </w:t>
      </w:r>
    </w:p>
    <w:p w:rsidR="007E3790" w:rsidRPr="00313F15" w:rsidRDefault="007E3790" w:rsidP="007E3790">
      <w:pPr>
        <w:pStyle w:val="ListParagraph"/>
        <w:numPr>
          <w:ilvl w:val="0"/>
          <w:numId w:val="2"/>
        </w:numPr>
        <w:rPr>
          <w:rFonts w:ascii="Times New Roman" w:hAnsi="Times New Roman" w:cs="Times New Roman"/>
          <w:b/>
          <w:i/>
        </w:rPr>
      </w:pPr>
      <w:r>
        <w:rPr>
          <w:rFonts w:ascii="Times New Roman" w:hAnsi="Times New Roman" w:cs="Times New Roman"/>
        </w:rPr>
        <w:t xml:space="preserve">To </w:t>
      </w:r>
      <w:r w:rsidR="00313F15">
        <w:rPr>
          <w:rFonts w:ascii="Times New Roman" w:hAnsi="Times New Roman" w:cs="Times New Roman"/>
        </w:rPr>
        <w:t>demonstrate understanding of  various</w:t>
      </w:r>
      <w:r>
        <w:rPr>
          <w:rFonts w:ascii="Times New Roman" w:hAnsi="Times New Roman" w:cs="Times New Roman"/>
        </w:rPr>
        <w:t xml:space="preserve"> cultural references contained in c</w:t>
      </w:r>
      <w:r w:rsidR="00313F15">
        <w:rPr>
          <w:rFonts w:ascii="Times New Roman" w:hAnsi="Times New Roman" w:cs="Times New Roman"/>
        </w:rPr>
        <w:t>hapter sixteen</w:t>
      </w:r>
    </w:p>
    <w:p w:rsidR="00313F15" w:rsidRPr="007E3790" w:rsidRDefault="00313F15" w:rsidP="007E3790">
      <w:pPr>
        <w:pStyle w:val="ListParagraph"/>
        <w:numPr>
          <w:ilvl w:val="0"/>
          <w:numId w:val="2"/>
        </w:numPr>
        <w:rPr>
          <w:rFonts w:ascii="Times New Roman" w:hAnsi="Times New Roman" w:cs="Times New Roman"/>
          <w:b/>
          <w:i/>
        </w:rPr>
      </w:pPr>
      <w:r>
        <w:rPr>
          <w:rFonts w:ascii="Times New Roman" w:hAnsi="Times New Roman" w:cs="Times New Roman"/>
        </w:rPr>
        <w:t>To analyze Steinbeck’s purpose for including such references</w:t>
      </w:r>
    </w:p>
    <w:p w:rsidR="007E3790" w:rsidRPr="00313F15" w:rsidRDefault="00313F15" w:rsidP="007E3790">
      <w:pPr>
        <w:pStyle w:val="ListParagraph"/>
        <w:numPr>
          <w:ilvl w:val="0"/>
          <w:numId w:val="2"/>
        </w:numPr>
        <w:rPr>
          <w:rFonts w:ascii="Times New Roman" w:hAnsi="Times New Roman" w:cs="Times New Roman"/>
          <w:b/>
          <w:i/>
        </w:rPr>
      </w:pPr>
      <w:r>
        <w:rPr>
          <w:rFonts w:ascii="Times New Roman" w:hAnsi="Times New Roman" w:cs="Times New Roman"/>
        </w:rPr>
        <w:t>To describe conditions in migrant work camps</w:t>
      </w:r>
    </w:p>
    <w:p w:rsidR="00313F15" w:rsidRPr="00313F15" w:rsidRDefault="00313F15" w:rsidP="007E3790">
      <w:pPr>
        <w:pStyle w:val="ListParagraph"/>
        <w:numPr>
          <w:ilvl w:val="0"/>
          <w:numId w:val="2"/>
        </w:numPr>
        <w:rPr>
          <w:rFonts w:ascii="Times New Roman" w:hAnsi="Times New Roman" w:cs="Times New Roman"/>
          <w:b/>
          <w:i/>
        </w:rPr>
      </w:pPr>
      <w:r>
        <w:rPr>
          <w:rFonts w:ascii="Times New Roman" w:hAnsi="Times New Roman" w:cs="Times New Roman"/>
        </w:rPr>
        <w:t xml:space="preserve">To discuss </w:t>
      </w:r>
      <w:r w:rsidR="004F6A23">
        <w:rPr>
          <w:rFonts w:ascii="Times New Roman" w:hAnsi="Times New Roman" w:cs="Times New Roman"/>
        </w:rPr>
        <w:t xml:space="preserve">relationships between migrant workers and non-migrants (power vs. powerlessness) </w:t>
      </w:r>
      <w:r>
        <w:rPr>
          <w:rFonts w:ascii="Times New Roman" w:hAnsi="Times New Roman" w:cs="Times New Roman"/>
        </w:rPr>
        <w:t xml:space="preserve"> </w:t>
      </w:r>
    </w:p>
    <w:p w:rsidR="00313F15" w:rsidRPr="00313F15" w:rsidRDefault="00313F15" w:rsidP="007E3790">
      <w:pPr>
        <w:pStyle w:val="ListParagraph"/>
        <w:numPr>
          <w:ilvl w:val="0"/>
          <w:numId w:val="2"/>
        </w:numPr>
        <w:rPr>
          <w:rFonts w:ascii="Times New Roman" w:hAnsi="Times New Roman" w:cs="Times New Roman"/>
          <w:b/>
          <w:i/>
        </w:rPr>
      </w:pPr>
      <w:r>
        <w:rPr>
          <w:rFonts w:ascii="Times New Roman" w:hAnsi="Times New Roman" w:cs="Times New Roman"/>
        </w:rPr>
        <w:t xml:space="preserve">To examine the role of social conscience </w:t>
      </w:r>
    </w:p>
    <w:p w:rsidR="00313F15" w:rsidRDefault="00313F15" w:rsidP="00313F15">
      <w:pPr>
        <w:rPr>
          <w:rFonts w:ascii="Times New Roman" w:hAnsi="Times New Roman" w:cs="Times New Roman"/>
        </w:rPr>
      </w:pPr>
      <w:r w:rsidRPr="00D15C1B">
        <w:rPr>
          <w:rFonts w:ascii="Times New Roman" w:hAnsi="Times New Roman" w:cs="Times New Roman"/>
          <w:b/>
          <w:u w:val="single"/>
        </w:rPr>
        <w:t>Time</w:t>
      </w:r>
      <w:r>
        <w:rPr>
          <w:rFonts w:ascii="Times New Roman" w:hAnsi="Times New Roman" w:cs="Times New Roman"/>
          <w:b/>
        </w:rPr>
        <w:t xml:space="preserve">:  </w:t>
      </w:r>
      <w:r w:rsidR="0050180F">
        <w:rPr>
          <w:rFonts w:ascii="Times New Roman" w:hAnsi="Times New Roman" w:cs="Times New Roman"/>
        </w:rPr>
        <w:t>3-4</w:t>
      </w:r>
      <w:r>
        <w:rPr>
          <w:rFonts w:ascii="Times New Roman" w:hAnsi="Times New Roman" w:cs="Times New Roman"/>
        </w:rPr>
        <w:t xml:space="preserve"> d</w:t>
      </w:r>
      <w:r w:rsidR="003A3877">
        <w:rPr>
          <w:rFonts w:ascii="Times New Roman" w:hAnsi="Times New Roman" w:cs="Times New Roman"/>
        </w:rPr>
        <w:t>ays depending on class schedule (</w:t>
      </w:r>
      <w:r w:rsidR="003A3877" w:rsidRPr="003A3877">
        <w:rPr>
          <w:rFonts w:ascii="Times New Roman" w:hAnsi="Times New Roman" w:cs="Times New Roman"/>
          <w:b/>
        </w:rPr>
        <w:t>2 days max for block scheduling</w:t>
      </w:r>
      <w:r w:rsidR="003A3877">
        <w:rPr>
          <w:rFonts w:ascii="Times New Roman" w:hAnsi="Times New Roman" w:cs="Times New Roman"/>
        </w:rPr>
        <w:t xml:space="preserve">).  </w:t>
      </w:r>
      <w:r>
        <w:rPr>
          <w:rFonts w:ascii="Times New Roman" w:hAnsi="Times New Roman" w:cs="Times New Roman"/>
        </w:rPr>
        <w:t xml:space="preserve">  </w:t>
      </w:r>
    </w:p>
    <w:p w:rsidR="00313F15" w:rsidRPr="00313F15" w:rsidRDefault="00313F15" w:rsidP="00313F15">
      <w:pPr>
        <w:rPr>
          <w:rFonts w:ascii="Times New Roman" w:hAnsi="Times New Roman" w:cs="Times New Roman"/>
        </w:rPr>
      </w:pPr>
      <w:r w:rsidRPr="00D15C1B">
        <w:rPr>
          <w:rFonts w:ascii="Times New Roman" w:hAnsi="Times New Roman" w:cs="Times New Roman"/>
          <w:b/>
          <w:u w:val="single"/>
        </w:rPr>
        <w:t>Level</w:t>
      </w:r>
      <w:r>
        <w:rPr>
          <w:rFonts w:ascii="Times New Roman" w:hAnsi="Times New Roman" w:cs="Times New Roman"/>
          <w:b/>
        </w:rPr>
        <w:t xml:space="preserve">: </w:t>
      </w:r>
      <w:r>
        <w:rPr>
          <w:rFonts w:ascii="Times New Roman" w:hAnsi="Times New Roman" w:cs="Times New Roman"/>
        </w:rPr>
        <w:t>Grades 9-12</w:t>
      </w:r>
    </w:p>
    <w:p w:rsidR="00313F15" w:rsidRDefault="00313F15" w:rsidP="00313F15">
      <w:pPr>
        <w:rPr>
          <w:rFonts w:ascii="Times New Roman" w:hAnsi="Times New Roman" w:cs="Times New Roman"/>
        </w:rPr>
      </w:pPr>
      <w:r w:rsidRPr="00D15C1B">
        <w:rPr>
          <w:rFonts w:ascii="Times New Roman" w:hAnsi="Times New Roman" w:cs="Times New Roman"/>
          <w:b/>
          <w:u w:val="single"/>
        </w:rPr>
        <w:t>Materials</w:t>
      </w:r>
      <w:r>
        <w:rPr>
          <w:rFonts w:ascii="Times New Roman" w:hAnsi="Times New Roman" w:cs="Times New Roman"/>
          <w:b/>
        </w:rPr>
        <w:t xml:space="preserve">:  </w:t>
      </w:r>
      <w:r>
        <w:rPr>
          <w:rFonts w:ascii="Times New Roman" w:hAnsi="Times New Roman" w:cs="Times New Roman"/>
        </w:rPr>
        <w:t xml:space="preserve">Copies of </w:t>
      </w:r>
      <w:r w:rsidRPr="00313F15">
        <w:rPr>
          <w:rFonts w:ascii="Times New Roman" w:hAnsi="Times New Roman" w:cs="Times New Roman"/>
          <w:i/>
        </w:rPr>
        <w:t>Grapes of Wrath</w:t>
      </w:r>
      <w:r>
        <w:rPr>
          <w:rFonts w:ascii="Times New Roman" w:hAnsi="Times New Roman" w:cs="Times New Roman"/>
        </w:rPr>
        <w:t xml:space="preserve"> chapter sixteen, two </w:t>
      </w:r>
      <w:r w:rsidR="0050180F">
        <w:rPr>
          <w:rFonts w:ascii="Times New Roman" w:hAnsi="Times New Roman" w:cs="Times New Roman"/>
        </w:rPr>
        <w:t>PowerPoint presentations</w:t>
      </w:r>
      <w:r>
        <w:rPr>
          <w:rFonts w:ascii="Times New Roman" w:hAnsi="Times New Roman" w:cs="Times New Roman"/>
        </w:rPr>
        <w:t xml:space="preserve"> (see attached)</w:t>
      </w:r>
      <w:r w:rsidR="0050180F">
        <w:rPr>
          <w:rFonts w:ascii="Times New Roman" w:hAnsi="Times New Roman" w:cs="Times New Roman"/>
        </w:rPr>
        <w:t>, links</w:t>
      </w:r>
      <w:r>
        <w:rPr>
          <w:rFonts w:ascii="Times New Roman" w:hAnsi="Times New Roman" w:cs="Times New Roman"/>
        </w:rPr>
        <w:t xml:space="preserve"> to videos (see below).  </w:t>
      </w:r>
    </w:p>
    <w:p w:rsidR="00095FCE" w:rsidRDefault="00313F15" w:rsidP="00313F15">
      <w:pPr>
        <w:rPr>
          <w:rFonts w:ascii="Times New Roman" w:hAnsi="Times New Roman" w:cs="Times New Roman"/>
        </w:rPr>
      </w:pPr>
      <w:r w:rsidRPr="00D15C1B">
        <w:rPr>
          <w:rFonts w:ascii="Times New Roman" w:hAnsi="Times New Roman" w:cs="Times New Roman"/>
          <w:b/>
          <w:u w:val="single"/>
        </w:rPr>
        <w:t>Prior Knowledge</w:t>
      </w:r>
      <w:r>
        <w:rPr>
          <w:rFonts w:ascii="Times New Roman" w:hAnsi="Times New Roman" w:cs="Times New Roman"/>
          <w:b/>
        </w:rPr>
        <w:t xml:space="preserve">:  </w:t>
      </w:r>
      <w:r w:rsidR="00D15C1B">
        <w:rPr>
          <w:rFonts w:ascii="Times New Roman" w:hAnsi="Times New Roman" w:cs="Times New Roman"/>
        </w:rPr>
        <w:t>Students should be able to exhibit general knowledge of the Great Depression and migrant worker camps. Students should also be</w:t>
      </w:r>
      <w:r w:rsidR="00095FCE">
        <w:rPr>
          <w:rFonts w:ascii="Times New Roman" w:hAnsi="Times New Roman" w:cs="Times New Roman"/>
        </w:rPr>
        <w:t xml:space="preserve"> able to engage in discussions regarding</w:t>
      </w:r>
      <w:r w:rsidR="00D15C1B">
        <w:rPr>
          <w:rFonts w:ascii="Times New Roman" w:hAnsi="Times New Roman" w:cs="Times New Roman"/>
        </w:rPr>
        <w:t xml:space="preserve"> character motives and social consciousness</w:t>
      </w:r>
      <w:r w:rsidR="00095FCE">
        <w:rPr>
          <w:rFonts w:ascii="Times New Roman" w:hAnsi="Times New Roman" w:cs="Times New Roman"/>
        </w:rPr>
        <w:t xml:space="preserve">.  </w:t>
      </w:r>
    </w:p>
    <w:p w:rsidR="00313F15" w:rsidRDefault="00D15C1B" w:rsidP="00313F15">
      <w:pPr>
        <w:rPr>
          <w:rFonts w:ascii="Times New Roman" w:hAnsi="Times New Roman" w:cs="Times New Roman"/>
          <w:b/>
        </w:rPr>
      </w:pPr>
      <w:r>
        <w:rPr>
          <w:rFonts w:ascii="Times New Roman" w:hAnsi="Times New Roman" w:cs="Times New Roman"/>
        </w:rPr>
        <w:t xml:space="preserve">A great resource is Gilder-Lehrman Institute of American History: </w:t>
      </w:r>
      <w:hyperlink r:id="rId6" w:history="1">
        <w:r w:rsidRPr="0035630D">
          <w:rPr>
            <w:rStyle w:val="Hyperlink"/>
            <w:rFonts w:ascii="Times New Roman" w:hAnsi="Times New Roman" w:cs="Times New Roman"/>
          </w:rPr>
          <w:t>http://www.gilderlehrman.org/history-by-era/great-depression-and-world-war-ii-1929-1945</w:t>
        </w:r>
      </w:hyperlink>
      <w:r>
        <w:rPr>
          <w:rFonts w:ascii="Times New Roman" w:hAnsi="Times New Roman" w:cs="Times New Roman"/>
        </w:rPr>
        <w:t xml:space="preserve"> </w:t>
      </w:r>
      <w:r w:rsidR="00095FCE">
        <w:rPr>
          <w:rFonts w:ascii="Times New Roman" w:hAnsi="Times New Roman" w:cs="Times New Roman"/>
        </w:rPr>
        <w:t xml:space="preserve"> </w:t>
      </w:r>
      <w:r w:rsidRPr="00D15C1B">
        <w:rPr>
          <w:rFonts w:ascii="Times New Roman" w:hAnsi="Times New Roman" w:cs="Times New Roman"/>
          <w:b/>
        </w:rPr>
        <w:t xml:space="preserve">NOTE:  You must create an account to log on to GL Primary Sources page.  It only takes a second.  Use this link to create your account: </w:t>
      </w:r>
      <w:hyperlink r:id="rId7" w:history="1">
        <w:r w:rsidRPr="00D15C1B">
          <w:rPr>
            <w:rStyle w:val="Hyperlink"/>
            <w:rFonts w:ascii="Times New Roman" w:hAnsi="Times New Roman" w:cs="Times New Roman"/>
            <w:b/>
          </w:rPr>
          <w:t>https://www.gilderlehrman.org/community/user/register</w:t>
        </w:r>
      </w:hyperlink>
      <w:r w:rsidRPr="00D15C1B">
        <w:rPr>
          <w:rFonts w:ascii="Times New Roman" w:hAnsi="Times New Roman" w:cs="Times New Roman"/>
          <w:b/>
        </w:rPr>
        <w:t xml:space="preserve">.  </w:t>
      </w:r>
    </w:p>
    <w:p w:rsidR="00D15C1B" w:rsidRDefault="00D15C1B" w:rsidP="00313F15">
      <w:pPr>
        <w:rPr>
          <w:rFonts w:ascii="Times New Roman" w:hAnsi="Times New Roman" w:cs="Times New Roman"/>
        </w:rPr>
      </w:pPr>
      <w:r>
        <w:rPr>
          <w:rFonts w:ascii="Times New Roman" w:hAnsi="Times New Roman" w:cs="Times New Roman"/>
        </w:rPr>
        <w:t xml:space="preserve">Another excellent resource is from The Library of Congress “American Memory: Voices from the Dust Bowl” </w:t>
      </w:r>
      <w:hyperlink r:id="rId8" w:history="1">
        <w:r w:rsidRPr="0035630D">
          <w:rPr>
            <w:rStyle w:val="Hyperlink"/>
            <w:rFonts w:ascii="Times New Roman" w:hAnsi="Times New Roman" w:cs="Times New Roman"/>
          </w:rPr>
          <w:t>http://memory.loc.gov/ammem/afctshtml/</w:t>
        </w:r>
      </w:hyperlink>
      <w:r>
        <w:rPr>
          <w:rFonts w:ascii="Times New Roman" w:hAnsi="Times New Roman" w:cs="Times New Roman"/>
        </w:rPr>
        <w:t xml:space="preserve"> </w:t>
      </w:r>
    </w:p>
    <w:p w:rsidR="00095FCE" w:rsidRDefault="00095FCE" w:rsidP="00313F15">
      <w:pPr>
        <w:rPr>
          <w:rFonts w:ascii="Times New Roman" w:hAnsi="Times New Roman" w:cs="Times New Roman"/>
        </w:rPr>
      </w:pPr>
    </w:p>
    <w:p w:rsidR="004F6A23" w:rsidRDefault="004F6A23" w:rsidP="00313F15">
      <w:pPr>
        <w:rPr>
          <w:rFonts w:ascii="Times New Roman" w:hAnsi="Times New Roman" w:cs="Times New Roman"/>
        </w:rPr>
      </w:pPr>
    </w:p>
    <w:p w:rsidR="00DB65FB" w:rsidRDefault="00095FCE" w:rsidP="00095FCE">
      <w:pPr>
        <w:pStyle w:val="Default"/>
      </w:pPr>
      <w:r w:rsidRPr="00095FCE">
        <w:rPr>
          <w:b/>
        </w:rPr>
        <w:lastRenderedPageBreak/>
        <w:t>Day One</w:t>
      </w:r>
      <w:r>
        <w:t xml:space="preserve">:  </w:t>
      </w:r>
      <w:r w:rsidR="00C82690">
        <w:t>The Migrant Worker</w:t>
      </w:r>
    </w:p>
    <w:p w:rsidR="00C82690" w:rsidRDefault="00C82690" w:rsidP="00095FCE">
      <w:pPr>
        <w:pStyle w:val="Default"/>
      </w:pPr>
    </w:p>
    <w:p w:rsidR="00095FCE" w:rsidRDefault="00C82690" w:rsidP="00095FCE">
      <w:pPr>
        <w:pStyle w:val="Default"/>
      </w:pPr>
      <w:r>
        <w:t xml:space="preserve">Begin class by playing </w:t>
      </w:r>
      <w:r w:rsidR="00095FCE">
        <w:t xml:space="preserve">Mary Sullivan’s “Sunny California” </w:t>
      </w:r>
      <w:hyperlink r:id="rId9" w:history="1">
        <w:r w:rsidR="00095FCE" w:rsidRPr="0035630D">
          <w:rPr>
            <w:rStyle w:val="Hyperlink"/>
          </w:rPr>
          <w:t>http://www.loc.gov/teachers/lyrical/songs/california.html</w:t>
        </w:r>
      </w:hyperlink>
    </w:p>
    <w:p w:rsidR="00095FCE" w:rsidRDefault="00095FCE" w:rsidP="00095FCE">
      <w:pPr>
        <w:pStyle w:val="Default"/>
      </w:pPr>
      <w:r>
        <w:t xml:space="preserve">See attachment for lyrics.  </w:t>
      </w:r>
    </w:p>
    <w:p w:rsidR="00095FCE" w:rsidRDefault="00095FCE" w:rsidP="00095FCE">
      <w:pPr>
        <w:pStyle w:val="Default"/>
      </w:pPr>
      <w:r>
        <w:t>Engage in classroom discussion regarding the emotions Sullivan exhibits in her song.  Ask students to explain some</w:t>
      </w:r>
      <w:r w:rsidR="000E6FEC">
        <w:t xml:space="preserve"> of</w:t>
      </w:r>
      <w:r>
        <w:t xml:space="preserve"> the hardships she endures in the migrant camp.  Students may want to choose a specific passage from the song and discuss why it resonates with them.  </w:t>
      </w:r>
      <w:r w:rsidR="000E6FEC">
        <w:t xml:space="preserve">Further, they may want to discuss current songs that tackle the same issues.  </w:t>
      </w:r>
    </w:p>
    <w:p w:rsidR="00095FCE" w:rsidRDefault="00095FCE" w:rsidP="00095FCE">
      <w:pPr>
        <w:pStyle w:val="Default"/>
      </w:pPr>
    </w:p>
    <w:p w:rsidR="00DB65FB" w:rsidRDefault="00095FCE" w:rsidP="00095FCE">
      <w:pPr>
        <w:pStyle w:val="Default"/>
      </w:pPr>
      <w:r>
        <w:t xml:space="preserve">If time allows, teachers </w:t>
      </w:r>
      <w:r w:rsidR="000E6FEC">
        <w:t xml:space="preserve">can </w:t>
      </w:r>
      <w:r>
        <w:t xml:space="preserve">also </w:t>
      </w:r>
      <w:r w:rsidR="00DB65FB">
        <w:t xml:space="preserve">play “Government Camp Song.” This one tends to elicit more emotion from students because this is sung by children.  </w:t>
      </w:r>
      <w:r w:rsidR="00C82690">
        <w:t xml:space="preserve">Lyrics </w:t>
      </w:r>
      <w:r w:rsidR="00917806">
        <w:t>might be</w:t>
      </w:r>
      <w:r w:rsidR="00C82690">
        <w:t xml:space="preserve"> difficult to understand but the chronicling of each “unit”</w:t>
      </w:r>
      <w:r w:rsidR="00917806">
        <w:t xml:space="preserve"> in the camp</w:t>
      </w:r>
      <w:r w:rsidR="00C82690">
        <w:t xml:space="preserve"> is pretty interesting.  </w:t>
      </w:r>
    </w:p>
    <w:p w:rsidR="00C82690" w:rsidRDefault="00C82690" w:rsidP="00095FCE">
      <w:pPr>
        <w:pStyle w:val="Default"/>
      </w:pPr>
    </w:p>
    <w:p w:rsidR="00C82690" w:rsidRDefault="00261EAC" w:rsidP="00095FCE">
      <w:pPr>
        <w:pStyle w:val="Default"/>
      </w:pPr>
      <w:hyperlink r:id="rId10" w:history="1">
        <w:r w:rsidR="00DB65FB" w:rsidRPr="0035630D">
          <w:rPr>
            <w:rStyle w:val="Hyperlink"/>
          </w:rPr>
          <w:t>http://hearingvoices.com/news/webworks/dust-bowl/</w:t>
        </w:r>
      </w:hyperlink>
      <w:r w:rsidR="00DB65FB">
        <w:t xml:space="preserve">  </w:t>
      </w:r>
      <w:r w:rsidR="000E6FEC">
        <w:t>(</w:t>
      </w:r>
      <w:r w:rsidR="000E6FEC" w:rsidRPr="000E6FEC">
        <w:t xml:space="preserve">This website provides myriad camp songs that teachers can use in tandem with </w:t>
      </w:r>
      <w:r w:rsidR="000E6FEC">
        <w:t xml:space="preserve">PowerPoint on migrant workers).  </w:t>
      </w:r>
    </w:p>
    <w:p w:rsidR="00C82690" w:rsidRDefault="00C82690" w:rsidP="00095FCE">
      <w:pPr>
        <w:pStyle w:val="Default"/>
      </w:pPr>
    </w:p>
    <w:p w:rsidR="009965B8" w:rsidRDefault="00C82690" w:rsidP="00095FCE">
      <w:pPr>
        <w:pStyle w:val="Default"/>
      </w:pPr>
      <w:r>
        <w:t xml:space="preserve">The images I chose, mostly from Lange’s collection, provide insight into the migrant experience.  Ask students to pay attention to various details in the photos (e.g. facial expressions, clothes, vehicles, parental relationships, etc.)  You may also want to engage in a discussion on themes presented in the photos (loneliness, despair, work).  For tomorrow, ask students to find another photo chronicling migrant workers and write a one paragraph reflection/analysis of their photo for tomorrow.   </w:t>
      </w:r>
    </w:p>
    <w:p w:rsidR="005B23B7" w:rsidRDefault="005B23B7" w:rsidP="00095FCE">
      <w:pPr>
        <w:pStyle w:val="Default"/>
      </w:pPr>
    </w:p>
    <w:p w:rsidR="005B23B7" w:rsidRDefault="005B23B7" w:rsidP="00095FCE">
      <w:pPr>
        <w:pStyle w:val="Default"/>
      </w:pPr>
      <w:r>
        <w:rPr>
          <w:b/>
        </w:rPr>
        <w:t xml:space="preserve">Day Two: </w:t>
      </w:r>
      <w:r>
        <w:t>The Other End of the Spectrum</w:t>
      </w:r>
    </w:p>
    <w:p w:rsidR="005B23B7" w:rsidRDefault="005B23B7" w:rsidP="00095FCE">
      <w:pPr>
        <w:pStyle w:val="Default"/>
      </w:pPr>
    </w:p>
    <w:p w:rsidR="005B23B7" w:rsidRDefault="005B23B7" w:rsidP="00095FCE">
      <w:pPr>
        <w:pStyle w:val="Default"/>
      </w:pPr>
      <w:r>
        <w:t xml:space="preserve">Begin class by asking students to share their reflections and photos.  </w:t>
      </w:r>
      <w:r w:rsidR="007A227D">
        <w:t>E</w:t>
      </w:r>
      <w:r>
        <w:t xml:space="preserve">xplain to students that we will move beyond the migrant worker and take a different look at the Depression.  </w:t>
      </w:r>
    </w:p>
    <w:p w:rsidR="005B23B7" w:rsidRDefault="005B23B7" w:rsidP="00095FCE">
      <w:pPr>
        <w:pStyle w:val="Default"/>
      </w:pPr>
    </w:p>
    <w:p w:rsidR="00F33CC9" w:rsidRDefault="00F33CC9" w:rsidP="00095FCE">
      <w:pPr>
        <w:pStyle w:val="Default"/>
      </w:pPr>
      <w:r>
        <w:t>Begin by mentioning that Steinbeck references various types of music in chapter sixteen.  Here are a few options for beginning this transition (all mentioned in chapter sixteen).  I like Goodman best because the students recog</w:t>
      </w:r>
      <w:r w:rsidR="007A227D">
        <w:t>nize this tune</w:t>
      </w:r>
      <w:r>
        <w:t xml:space="preserve">. </w:t>
      </w:r>
      <w:r w:rsidR="0050180F">
        <w:t>If time allots, use</w:t>
      </w:r>
      <w:r w:rsidR="007A227D">
        <w:t xml:space="preserve"> all</w:t>
      </w:r>
      <w:r w:rsidR="0050180F">
        <w:t xml:space="preserve"> clips</w:t>
      </w:r>
      <w:r w:rsidR="007A227D">
        <w:t xml:space="preserve"> for this lesson.  </w:t>
      </w:r>
    </w:p>
    <w:p w:rsidR="00F33CC9" w:rsidRDefault="00F33CC9" w:rsidP="00095FCE">
      <w:pPr>
        <w:pStyle w:val="Default"/>
      </w:pPr>
    </w:p>
    <w:p w:rsidR="005B23B7" w:rsidRDefault="005B23B7" w:rsidP="00F33CC9">
      <w:pPr>
        <w:pStyle w:val="Default"/>
        <w:numPr>
          <w:ilvl w:val="0"/>
          <w:numId w:val="3"/>
        </w:numPr>
      </w:pPr>
      <w:r>
        <w:t>Benny Goodman’s</w:t>
      </w:r>
      <w:r w:rsidR="00F33CC9">
        <w:t xml:space="preserve"> 1935</w:t>
      </w:r>
      <w:r>
        <w:t xml:space="preserve"> “Sing, Sing, Sing”</w:t>
      </w:r>
      <w:r w:rsidR="00F33CC9" w:rsidRPr="00F33CC9">
        <w:t xml:space="preserve"> </w:t>
      </w:r>
      <w:hyperlink r:id="rId11" w:history="1">
        <w:r w:rsidR="00F33CC9" w:rsidRPr="0035630D">
          <w:rPr>
            <w:rStyle w:val="Hyperlink"/>
          </w:rPr>
          <w:t>http://www.youtube.com/watch?v=r2S1I_ien6A</w:t>
        </w:r>
      </w:hyperlink>
      <w:r w:rsidR="00F33CC9">
        <w:t xml:space="preserve"> </w:t>
      </w:r>
    </w:p>
    <w:p w:rsidR="00F33CC9" w:rsidRDefault="00F33CC9" w:rsidP="00F33CC9">
      <w:pPr>
        <w:pStyle w:val="Default"/>
        <w:numPr>
          <w:ilvl w:val="0"/>
          <w:numId w:val="3"/>
        </w:numPr>
      </w:pPr>
      <w:r>
        <w:t xml:space="preserve">Bob Hope, 1938 “Thanks for the Memory” </w:t>
      </w:r>
      <w:hyperlink r:id="rId12" w:history="1">
        <w:r w:rsidRPr="0035630D">
          <w:rPr>
            <w:rStyle w:val="Hyperlink"/>
          </w:rPr>
          <w:t>http://www.youtube.com/watch?v=44Owr4iBctU</w:t>
        </w:r>
      </w:hyperlink>
    </w:p>
    <w:p w:rsidR="00F33CC9" w:rsidRDefault="00F33CC9" w:rsidP="00F33CC9">
      <w:pPr>
        <w:pStyle w:val="Default"/>
        <w:numPr>
          <w:ilvl w:val="0"/>
          <w:numId w:val="3"/>
        </w:numPr>
      </w:pPr>
      <w:r>
        <w:t>Maria Grever’s “Tipi Tipi Tin”</w:t>
      </w:r>
    </w:p>
    <w:p w:rsidR="00F33CC9" w:rsidRDefault="00F33CC9" w:rsidP="00F33CC9">
      <w:pPr>
        <w:pStyle w:val="Default"/>
        <w:ind w:left="720"/>
      </w:pPr>
      <w:r>
        <w:t xml:space="preserve"> </w:t>
      </w:r>
      <w:hyperlink r:id="rId13" w:history="1">
        <w:r w:rsidRPr="0035630D">
          <w:rPr>
            <w:rStyle w:val="Hyperlink"/>
          </w:rPr>
          <w:t>http://www.youtube.com/watch?v=CHwySih989o</w:t>
        </w:r>
      </w:hyperlink>
      <w:r>
        <w:t xml:space="preserve"> </w:t>
      </w:r>
    </w:p>
    <w:p w:rsidR="007D2DE9" w:rsidRDefault="007D2DE9" w:rsidP="007D2DE9">
      <w:pPr>
        <w:pStyle w:val="Default"/>
      </w:pPr>
    </w:p>
    <w:p w:rsidR="007D2DE9" w:rsidRDefault="007A227D" w:rsidP="007D2DE9">
      <w:pPr>
        <w:pStyle w:val="Default"/>
      </w:pPr>
      <w:r>
        <w:t xml:space="preserve">While listening to music, ask students to compose a list of words/phrases that best describes the mood of each piece.  How do these word/phrases compare or contrast with the emotions elicited by the migrant worker songs from the previous day?  </w:t>
      </w:r>
      <w:r w:rsidR="007E207C">
        <w:t xml:space="preserve">See “hearing voices” link above for more music from the camps.  </w:t>
      </w:r>
      <w:r>
        <w:t xml:space="preserve">Explain that chapter sixteen moves beyond the migrant worker and looks at other travelers on Route 66.  Use PowerPoint to set the scene for the story (see attached).  “Sing, Sing, Sing” also works well as background music for the PowerPoint. </w:t>
      </w:r>
    </w:p>
    <w:p w:rsidR="0050180F" w:rsidRDefault="0050180F" w:rsidP="007D2DE9">
      <w:pPr>
        <w:pStyle w:val="Default"/>
      </w:pPr>
    </w:p>
    <w:p w:rsidR="003A3877" w:rsidRDefault="0050180F" w:rsidP="007D2DE9">
      <w:pPr>
        <w:pStyle w:val="Default"/>
      </w:pPr>
      <w:r>
        <w:t xml:space="preserve">After the slideshow, ask students to compare the cars that “whizzed viciously by on 66” to those used by the migrant workers.  What types of people might own such cars?  Why would such luxurious cars be traveling west on 66?  Are they traveling for the same reasons the migrants are traveling?  </w:t>
      </w:r>
    </w:p>
    <w:p w:rsidR="003A3877" w:rsidRDefault="003A3877" w:rsidP="007D2DE9">
      <w:pPr>
        <w:pStyle w:val="Default"/>
      </w:pPr>
    </w:p>
    <w:p w:rsidR="0050180F" w:rsidRDefault="003A3877" w:rsidP="007D2DE9">
      <w:pPr>
        <w:pStyle w:val="Default"/>
      </w:pPr>
      <w:r>
        <w:t>For homework, have students compose a creative, one-page narrative whereby they</w:t>
      </w:r>
      <w:r w:rsidR="000E6FEC">
        <w:t xml:space="preserve"> discuss how they might feel if they were a migrant worker traveling alongside a 1938 Cadillac (</w:t>
      </w:r>
      <w:r>
        <w:t>or</w:t>
      </w:r>
      <w:r w:rsidR="000E6FEC">
        <w:t xml:space="preserve"> vice versa).   </w:t>
      </w:r>
    </w:p>
    <w:p w:rsidR="000E6FEC" w:rsidRDefault="000E6FEC" w:rsidP="007D2DE9">
      <w:pPr>
        <w:pStyle w:val="Default"/>
        <w:rPr>
          <w:b/>
        </w:rPr>
      </w:pPr>
    </w:p>
    <w:p w:rsidR="0050180F" w:rsidRDefault="000E6FEC" w:rsidP="007D2DE9">
      <w:pPr>
        <w:pStyle w:val="Default"/>
      </w:pPr>
      <w:r>
        <w:rPr>
          <w:b/>
        </w:rPr>
        <w:t xml:space="preserve">Day Three: </w:t>
      </w:r>
      <w:r>
        <w:t>Tackling the Text</w:t>
      </w:r>
      <w:r w:rsidR="005B0921">
        <w:t xml:space="preserve"> and Making Connections</w:t>
      </w:r>
    </w:p>
    <w:p w:rsidR="003A3877" w:rsidRDefault="003A3877" w:rsidP="007D2DE9">
      <w:pPr>
        <w:pStyle w:val="Default"/>
      </w:pPr>
    </w:p>
    <w:p w:rsidR="003A3877" w:rsidRDefault="003A3877" w:rsidP="007D2DE9">
      <w:pPr>
        <w:pStyle w:val="Default"/>
      </w:pPr>
      <w:r>
        <w:t xml:space="preserve">Begin class by having students share their narratives from the previous night.  Explain that they will read chapter sixteen aloud in class today.  Remind students to read with a pen and underline any key passages that they feel are essential to the story.  </w:t>
      </w:r>
    </w:p>
    <w:p w:rsidR="003A3877" w:rsidRDefault="003A3877" w:rsidP="007D2DE9">
      <w:pPr>
        <w:pStyle w:val="Default"/>
      </w:pPr>
    </w:p>
    <w:p w:rsidR="003A3877" w:rsidRDefault="003A3877" w:rsidP="007D2DE9">
      <w:pPr>
        <w:pStyle w:val="Default"/>
      </w:pPr>
      <w:r>
        <w:t xml:space="preserve">If reading the chapters takes the entire period, remind students to review the chapter for homework.   If there is time, ask students to share what key phrases/passages they chose from the chapter and explain their reasoning behind their choices. </w:t>
      </w:r>
    </w:p>
    <w:p w:rsidR="003A3877" w:rsidRDefault="003A3877" w:rsidP="007D2DE9">
      <w:pPr>
        <w:pStyle w:val="Default"/>
      </w:pPr>
    </w:p>
    <w:p w:rsidR="003A3877" w:rsidRDefault="003A3877" w:rsidP="007D2DE9">
      <w:pPr>
        <w:pStyle w:val="Default"/>
      </w:pPr>
      <w:r>
        <w:rPr>
          <w:b/>
        </w:rPr>
        <w:t xml:space="preserve">Day Four:  </w:t>
      </w:r>
      <w:r w:rsidR="007E207C">
        <w:t>Reflection</w:t>
      </w:r>
    </w:p>
    <w:p w:rsidR="007E207C" w:rsidRDefault="00B603B9" w:rsidP="007D2DE9">
      <w:pPr>
        <w:pStyle w:val="Default"/>
      </w:pPr>
      <w:r>
        <w:t xml:space="preserve">Open the floor for discussion on chapter 16.  Points for discussion might include, but are not limited to: </w:t>
      </w:r>
    </w:p>
    <w:p w:rsidR="0025035F" w:rsidRDefault="0025035F" w:rsidP="007D2DE9">
      <w:pPr>
        <w:pStyle w:val="Default"/>
      </w:pPr>
    </w:p>
    <w:p w:rsidR="00B603B9" w:rsidRDefault="00B603B9" w:rsidP="00B603B9">
      <w:pPr>
        <w:pStyle w:val="Default"/>
        <w:numPr>
          <w:ilvl w:val="0"/>
          <w:numId w:val="4"/>
        </w:numPr>
      </w:pPr>
      <w:r>
        <w:t xml:space="preserve">Mae’s </w:t>
      </w:r>
      <w:r w:rsidR="005B0921">
        <w:t>transformation</w:t>
      </w:r>
      <w:r>
        <w:t xml:space="preserve">:  What sparks the change in Mae’s behavior?  Is there an epiphany present? Ignorance?  </w:t>
      </w:r>
    </w:p>
    <w:p w:rsidR="0025035F" w:rsidRDefault="00B603B9" w:rsidP="0025035F">
      <w:pPr>
        <w:pStyle w:val="Default"/>
        <w:numPr>
          <w:ilvl w:val="0"/>
          <w:numId w:val="4"/>
        </w:numPr>
      </w:pPr>
      <w:r>
        <w:t>Internal conflicts vs. external conflicts</w:t>
      </w:r>
    </w:p>
    <w:p w:rsidR="00B603B9" w:rsidRDefault="00B603B9" w:rsidP="0025035F">
      <w:pPr>
        <w:pStyle w:val="Default"/>
        <w:numPr>
          <w:ilvl w:val="0"/>
          <w:numId w:val="4"/>
        </w:numPr>
      </w:pPr>
      <w:r>
        <w:t xml:space="preserve">Big Bill’s conversion / motives: Why “go to hell” followed by a slamming door?  How are students to interpret that? </w:t>
      </w:r>
    </w:p>
    <w:p w:rsidR="0025035F" w:rsidRDefault="0025035F" w:rsidP="0025035F">
      <w:pPr>
        <w:pStyle w:val="Default"/>
        <w:numPr>
          <w:ilvl w:val="0"/>
          <w:numId w:val="4"/>
        </w:numPr>
      </w:pPr>
      <w:r>
        <w:t>A</w:t>
      </w:r>
      <w:r w:rsidR="00B603B9">
        <w:t>l’s insistence on helping the migrant worker</w:t>
      </w:r>
    </w:p>
    <w:p w:rsidR="0025035F" w:rsidRDefault="00B603B9" w:rsidP="0025035F">
      <w:pPr>
        <w:pStyle w:val="Default"/>
        <w:numPr>
          <w:ilvl w:val="0"/>
          <w:numId w:val="4"/>
        </w:numPr>
      </w:pPr>
      <w:r>
        <w:t>Steinbeck’s description of women as “languid, heat-raddled ladies, small nucleuses about whom revolve a thousand accoutrements.”</w:t>
      </w:r>
    </w:p>
    <w:p w:rsidR="0025035F" w:rsidRDefault="00B603B9" w:rsidP="0025035F">
      <w:pPr>
        <w:pStyle w:val="Default"/>
        <w:numPr>
          <w:ilvl w:val="0"/>
          <w:numId w:val="4"/>
        </w:numPr>
      </w:pPr>
      <w:r>
        <w:t xml:space="preserve">Steinbeck’s description of men as “clean, pink men with puzzled worried eyes, with restless eyes.” </w:t>
      </w:r>
      <w:r w:rsidR="0025035F" w:rsidRPr="0025035F">
        <w:rPr>
          <w:b/>
        </w:rPr>
        <w:t>How do these descriptions compare to Steinbeck’s descriptions of the migrant workers</w:t>
      </w:r>
      <w:r w:rsidR="0025035F">
        <w:t>?</w:t>
      </w:r>
    </w:p>
    <w:p w:rsidR="0025035F" w:rsidRDefault="0025035F" w:rsidP="0025035F">
      <w:pPr>
        <w:pStyle w:val="Default"/>
        <w:numPr>
          <w:ilvl w:val="0"/>
          <w:numId w:val="4"/>
        </w:numPr>
      </w:pPr>
      <w:r>
        <w:t xml:space="preserve">Steinbeck’s attitude toward those who drive out west looking for a vacation.  </w:t>
      </w:r>
    </w:p>
    <w:p w:rsidR="0025035F" w:rsidRDefault="0025035F" w:rsidP="0025035F">
      <w:pPr>
        <w:pStyle w:val="Default"/>
        <w:numPr>
          <w:ilvl w:val="0"/>
          <w:numId w:val="4"/>
        </w:numPr>
      </w:pPr>
      <w:r>
        <w:t xml:space="preserve">Importance of place:  Why a diner?  Diner as microcosm of the world?  Aren’t there Maes, and Als, and Bills throughout? </w:t>
      </w:r>
    </w:p>
    <w:p w:rsidR="0025035F" w:rsidRDefault="0025035F" w:rsidP="0025035F">
      <w:pPr>
        <w:pStyle w:val="Default"/>
        <w:numPr>
          <w:ilvl w:val="0"/>
          <w:numId w:val="4"/>
        </w:numPr>
      </w:pPr>
      <w:r>
        <w:t xml:space="preserve">Role of industry, commodities, food, even candy.  </w:t>
      </w:r>
    </w:p>
    <w:p w:rsidR="0025035F" w:rsidRDefault="00917806" w:rsidP="0025035F">
      <w:pPr>
        <w:pStyle w:val="Default"/>
        <w:numPr>
          <w:ilvl w:val="0"/>
          <w:numId w:val="4"/>
        </w:numPr>
      </w:pPr>
      <w:r>
        <w:t>Presence of rational discourse</w:t>
      </w:r>
    </w:p>
    <w:p w:rsidR="0025035F" w:rsidRDefault="0025035F" w:rsidP="0025035F">
      <w:pPr>
        <w:pStyle w:val="Default"/>
        <w:numPr>
          <w:ilvl w:val="0"/>
          <w:numId w:val="4"/>
        </w:numPr>
      </w:pPr>
      <w:r>
        <w:t>Cultural references…why does Steinbeck go to such lengths to describe</w:t>
      </w:r>
      <w:r w:rsidR="00917806">
        <w:t xml:space="preserve"> so many seemingly unnecessary “things”?  </w:t>
      </w:r>
    </w:p>
    <w:p w:rsidR="0025035F" w:rsidRDefault="0025035F" w:rsidP="0025035F">
      <w:pPr>
        <w:pStyle w:val="Default"/>
      </w:pPr>
    </w:p>
    <w:p w:rsidR="0050180F" w:rsidRPr="005B23B7" w:rsidRDefault="005B0921" w:rsidP="007D2DE9">
      <w:pPr>
        <w:pStyle w:val="Default"/>
      </w:pPr>
      <w:r w:rsidRPr="005B0921">
        <w:rPr>
          <w:b/>
        </w:rPr>
        <w:t>Assessment</w:t>
      </w:r>
      <w:r>
        <w:t xml:space="preserve">:  Personal response essay.  Ask students to reflect, in their own words, what Steinbeck is “getting at” in chapter sixteen.  In other words, </w:t>
      </w:r>
      <w:r w:rsidRPr="005B0921">
        <w:rPr>
          <w:i/>
        </w:rPr>
        <w:t>what’s the point</w:t>
      </w:r>
      <w:r>
        <w:t xml:space="preserve">?  What is he saying about the need for social consciousness?  What statement does this chapter make about the relationship between </w:t>
      </w:r>
      <w:r w:rsidR="00917806">
        <w:t>power and powerlessness</w:t>
      </w:r>
      <w:r>
        <w:t>?</w:t>
      </w:r>
      <w:r w:rsidR="0050180F">
        <w:t xml:space="preserve"> </w:t>
      </w:r>
    </w:p>
    <w:p w:rsidR="00C82690" w:rsidRDefault="00C82690" w:rsidP="00095FCE">
      <w:pPr>
        <w:pStyle w:val="Default"/>
      </w:pPr>
    </w:p>
    <w:p w:rsidR="00C82690" w:rsidRDefault="00C82690" w:rsidP="00095FCE">
      <w:pPr>
        <w:pStyle w:val="Default"/>
      </w:pPr>
    </w:p>
    <w:p w:rsidR="00C82690" w:rsidRDefault="00C82690" w:rsidP="00095FCE">
      <w:pPr>
        <w:pStyle w:val="Default"/>
      </w:pPr>
    </w:p>
    <w:p w:rsidR="00C82690" w:rsidRDefault="00C82690" w:rsidP="00095FCE">
      <w:pPr>
        <w:pStyle w:val="Default"/>
      </w:pPr>
    </w:p>
    <w:p w:rsidR="00C82690" w:rsidRDefault="00C82690" w:rsidP="00095FCE">
      <w:pPr>
        <w:pStyle w:val="Default"/>
      </w:pPr>
    </w:p>
    <w:p w:rsidR="00C82690" w:rsidRDefault="00C82690" w:rsidP="00095FCE">
      <w:pPr>
        <w:pStyle w:val="Default"/>
      </w:pPr>
    </w:p>
    <w:p w:rsidR="00095FCE" w:rsidRDefault="00DB65FB" w:rsidP="00095FCE">
      <w:pPr>
        <w:pStyle w:val="Default"/>
      </w:pPr>
      <w:r>
        <w:t xml:space="preserve">  </w:t>
      </w:r>
    </w:p>
    <w:p w:rsidR="00DB65FB" w:rsidRDefault="00DB65FB" w:rsidP="00095FCE">
      <w:pPr>
        <w:pStyle w:val="Default"/>
      </w:pPr>
    </w:p>
    <w:p w:rsidR="00095FCE" w:rsidRPr="00D15C1B" w:rsidRDefault="00095FCE" w:rsidP="00095FCE">
      <w:pPr>
        <w:pStyle w:val="Default"/>
      </w:pPr>
    </w:p>
    <w:p w:rsidR="00B82B6A" w:rsidRPr="00B82B6A" w:rsidRDefault="00B82B6A" w:rsidP="00B82B6A">
      <w:pPr>
        <w:spacing w:after="0"/>
        <w:rPr>
          <w:rFonts w:ascii="Times New Roman" w:hAnsi="Times New Roman" w:cs="Times New Roman"/>
          <w:sz w:val="24"/>
          <w:szCs w:val="24"/>
        </w:rPr>
      </w:pPr>
    </w:p>
    <w:sectPr w:rsidR="00B82B6A" w:rsidRPr="00B8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A97"/>
    <w:multiLevelType w:val="hybridMultilevel"/>
    <w:tmpl w:val="D0C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408F7"/>
    <w:multiLevelType w:val="hybridMultilevel"/>
    <w:tmpl w:val="3092C6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387551"/>
    <w:multiLevelType w:val="hybridMultilevel"/>
    <w:tmpl w:val="EE9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C3CA8"/>
    <w:multiLevelType w:val="hybridMultilevel"/>
    <w:tmpl w:val="887A39E0"/>
    <w:lvl w:ilvl="0" w:tplc="446AFC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C5640"/>
    <w:multiLevelType w:val="hybridMultilevel"/>
    <w:tmpl w:val="4D44A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044A14"/>
    <w:multiLevelType w:val="hybridMultilevel"/>
    <w:tmpl w:val="563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04DA6"/>
    <w:multiLevelType w:val="hybridMultilevel"/>
    <w:tmpl w:val="2A009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68B0360"/>
    <w:multiLevelType w:val="hybridMultilevel"/>
    <w:tmpl w:val="4A9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6A"/>
    <w:rsid w:val="00095FCE"/>
    <w:rsid w:val="000E6FEC"/>
    <w:rsid w:val="002456BD"/>
    <w:rsid w:val="0025035F"/>
    <w:rsid w:val="00261EAC"/>
    <w:rsid w:val="003029FA"/>
    <w:rsid w:val="00313F15"/>
    <w:rsid w:val="003A3877"/>
    <w:rsid w:val="004F6A23"/>
    <w:rsid w:val="0050180F"/>
    <w:rsid w:val="00506916"/>
    <w:rsid w:val="005B0921"/>
    <w:rsid w:val="005B23B7"/>
    <w:rsid w:val="007A227D"/>
    <w:rsid w:val="007D2DE9"/>
    <w:rsid w:val="007E207C"/>
    <w:rsid w:val="007E3790"/>
    <w:rsid w:val="0084753B"/>
    <w:rsid w:val="00917806"/>
    <w:rsid w:val="009965B8"/>
    <w:rsid w:val="00B603B9"/>
    <w:rsid w:val="00B82B6A"/>
    <w:rsid w:val="00C82690"/>
    <w:rsid w:val="00D15C1B"/>
    <w:rsid w:val="00DB65FB"/>
    <w:rsid w:val="00F3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6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2B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B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2B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2B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82B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B6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3790"/>
    <w:pPr>
      <w:ind w:left="720"/>
      <w:contextualSpacing/>
    </w:pPr>
  </w:style>
  <w:style w:type="character" w:styleId="Hyperlink">
    <w:name w:val="Hyperlink"/>
    <w:basedOn w:val="DefaultParagraphFont"/>
    <w:uiPriority w:val="99"/>
    <w:unhideWhenUsed/>
    <w:rsid w:val="00D15C1B"/>
    <w:rPr>
      <w:color w:val="0000FF" w:themeColor="hyperlink"/>
      <w:u w:val="single"/>
    </w:rPr>
  </w:style>
  <w:style w:type="character" w:styleId="FollowedHyperlink">
    <w:name w:val="FollowedHyperlink"/>
    <w:basedOn w:val="DefaultParagraphFont"/>
    <w:uiPriority w:val="99"/>
    <w:semiHidden/>
    <w:unhideWhenUsed/>
    <w:rsid w:val="00095FCE"/>
    <w:rPr>
      <w:color w:val="800080" w:themeColor="followedHyperlink"/>
      <w:u w:val="single"/>
    </w:rPr>
  </w:style>
  <w:style w:type="paragraph" w:customStyle="1" w:styleId="Default">
    <w:name w:val="Default"/>
    <w:rsid w:val="00095F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F6A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6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2B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B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2B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2B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82B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B6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3790"/>
    <w:pPr>
      <w:ind w:left="720"/>
      <w:contextualSpacing/>
    </w:pPr>
  </w:style>
  <w:style w:type="character" w:styleId="Hyperlink">
    <w:name w:val="Hyperlink"/>
    <w:basedOn w:val="DefaultParagraphFont"/>
    <w:uiPriority w:val="99"/>
    <w:unhideWhenUsed/>
    <w:rsid w:val="00D15C1B"/>
    <w:rPr>
      <w:color w:val="0000FF" w:themeColor="hyperlink"/>
      <w:u w:val="single"/>
    </w:rPr>
  </w:style>
  <w:style w:type="character" w:styleId="FollowedHyperlink">
    <w:name w:val="FollowedHyperlink"/>
    <w:basedOn w:val="DefaultParagraphFont"/>
    <w:uiPriority w:val="99"/>
    <w:semiHidden/>
    <w:unhideWhenUsed/>
    <w:rsid w:val="00095FCE"/>
    <w:rPr>
      <w:color w:val="800080" w:themeColor="followedHyperlink"/>
      <w:u w:val="single"/>
    </w:rPr>
  </w:style>
  <w:style w:type="paragraph" w:customStyle="1" w:styleId="Default">
    <w:name w:val="Default"/>
    <w:rsid w:val="00095F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F6A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ammem/afctshtml/" TargetMode="External"/><Relationship Id="rId13" Type="http://schemas.openxmlformats.org/officeDocument/2006/relationships/hyperlink" Target="http://www.youtube.com/watch?v=CHwySih989o" TargetMode="External"/><Relationship Id="rId3" Type="http://schemas.microsoft.com/office/2007/relationships/stylesWithEffects" Target="stylesWithEffects.xml"/><Relationship Id="rId7" Type="http://schemas.openxmlformats.org/officeDocument/2006/relationships/hyperlink" Target="https://www.gilderlehrman.org/community/user/register" TargetMode="External"/><Relationship Id="rId12" Type="http://schemas.openxmlformats.org/officeDocument/2006/relationships/hyperlink" Target="http://www.youtube.com/watch?v=44Owr4iBc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derlehrman.org/history-by-era/great-depression-and-world-war-ii-1929-1945" TargetMode="External"/><Relationship Id="rId11" Type="http://schemas.openxmlformats.org/officeDocument/2006/relationships/hyperlink" Target="http://www.youtube.com/watch?v=r2S1I_ien6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aringvoices.com/news/webworks/dust-bowl/" TargetMode="External"/><Relationship Id="rId4" Type="http://schemas.openxmlformats.org/officeDocument/2006/relationships/settings" Target="settings.xml"/><Relationship Id="rId9" Type="http://schemas.openxmlformats.org/officeDocument/2006/relationships/hyperlink" Target="http://www.loc.gov/teachers/lyrical/songs/californi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image7</dc:creator>
  <cp:lastModifiedBy>Chris Patton</cp:lastModifiedBy>
  <cp:revision>3</cp:revision>
  <dcterms:created xsi:type="dcterms:W3CDTF">2013-08-31T21:32:00Z</dcterms:created>
  <dcterms:modified xsi:type="dcterms:W3CDTF">2013-09-03T16:12:00Z</dcterms:modified>
</cp:coreProperties>
</file>